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26-224</w:t>
      </w:r>
    </w:p>
    <w:p>
      <w:pPr>
        <w:spacing w:before="0" w:after="0" w:line="480"/>
        <w:ind w:left="120"/>
        <w:jc w:val="left"/>
      </w:pPr>
    </w:p>
    <w:p>
      <w:pPr>
        <w:spacing w:before="0" w:after="0" w:line="480"/>
        <w:ind w:left="120"/>
        <w:jc w:val="center"/>
      </w:pPr>
      <w:r>
        <w:rPr>
          <w:rFonts w:ascii="Times New Roman" w:hAnsi="Times New Roman"/>
          <w:b/>
          <w:i w:val="false"/>
          <w:color w:val="000000"/>
          <w:sz w:val="28"/>
        </w:rPr>
        <w:t>ECONOMIC DEVELOPMENT AUTHORITY[261]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261—Chapter 414</w:t>
      </w:r>
    </w:p>
    <w:p>
      <w:pPr>
        <w:spacing w:before="0" w:after="0" w:line="480"/>
        <w:ind w:left="120"/>
        <w:jc w:val="center"/>
      </w:pPr>
      <w:r>
        <w:rPr>
          <w:rFonts w:ascii="Times New Roman" w:hAnsi="Times New Roman"/>
          <w:b w:val="false"/>
          <w:i w:val="false"/>
          <w:color w:val="000000"/>
          <w:sz w:val="24"/>
        </w:rPr>
        <w:t>“Review and Compliance Program”</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15.121</w:t>
      </w:r>
    </w:p>
    <w:p>
      <w:pPr>
        <w:spacing w:before="0" w:after="0" w:line="480"/>
        <w:ind w:left="120"/>
        <w:jc w:val="both"/>
      </w:pPr>
      <w:r>
        <w:rPr>
          <w:rFonts w:ascii="Times New Roman" w:hAnsi="Times New Roman"/>
          <w:b w:val="false"/>
          <w:i w:val="false"/>
          <w:color w:val="000000"/>
          <w:sz w:val="24"/>
        </w:rPr>
        <w:t>State or federal law(s) implemented by the rulemaking: Iowa Code section 15.121 and 54 U.S.C. Subtitle III, Division A</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810"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8, 2026</w:t>
            </w:r>
            <w:r>
              <w:br/>
            </w:r>
            <w:r>
              <w:rPr>
                <w:rFonts w:ascii="Times New Roman" w:hAnsi="Times New Roman"/>
                <w:b w:val="false"/>
                <w:i w:val="false"/>
                <w:color w:val="000000"/>
                <w:sz w:val="14"/>
              </w:rPr>
              <w:t>2 to 2:15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Microsoft Teams</w:t>
            </w:r>
            <w:r>
              <w:br/>
            </w:r>
            <w:r>
              <w:rPr>
                <w:rFonts w:ascii="Times New Roman" w:hAnsi="Times New Roman"/>
                <w:b w:val="false"/>
                <w:i w:val="false"/>
                <w:color w:val="000000"/>
                <w:sz w:val="14"/>
              </w:rPr>
              <w:t xml:space="preserve">Information about Teams participation </w:t>
            </w:r>
            <w:r>
              <w:br/>
            </w:r>
            <w:r>
              <w:rPr>
                <w:rFonts w:ascii="Times New Roman" w:hAnsi="Times New Roman"/>
                <w:b w:val="false"/>
                <w:i w:val="false"/>
                <w:color w:val="000000"/>
                <w:sz w:val="14"/>
              </w:rPr>
              <w:t xml:space="preserve">can be found at </w:t>
            </w:r>
            <w:r>
              <w:br/>
            </w:r>
            <w:hyperlink r:id="rId4">
              <w:r>
                <w:rPr>
                  <w:rStyle w:val="Hyperlink"/>
                  <w:rFonts w:ascii="Times New Roman" w:hAnsi="Times New Roman"/>
                  <w:b w:val="false"/>
                  <w:i w:val="false"/>
                  <w:color w:val="0000ff"/>
                  <w:sz w:val="14"/>
                </w:rPr>
                <w:t>opportunityiowa.gov/about/iowa-economic-development-authority/ieda-red-tape-review</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Economic Development Authority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Lisa Connell</w:t>
            </w:r>
            <w:r>
              <w:br/>
            </w:r>
            <w:r>
              <w:rPr>
                <w:rFonts w:ascii="Times New Roman" w:hAnsi="Times New Roman"/>
                <w:b w:val="false"/>
                <w:i w:val="false"/>
                <w:color w:val="000000"/>
                <w:sz w:val="14"/>
              </w:rPr>
              <w:t>Iowa Economic Development Authority</w:t>
            </w:r>
            <w:r>
              <w:br/>
            </w:r>
            <w:r>
              <w:rPr>
                <w:rFonts w:ascii="Times New Roman" w:hAnsi="Times New Roman"/>
                <w:b w:val="false"/>
                <w:i w:val="false"/>
                <w:color w:val="000000"/>
                <w:sz w:val="14"/>
              </w:rPr>
              <w:t>1963 Bell Avenue, Suite 200</w:t>
            </w:r>
            <w:r>
              <w:br/>
            </w:r>
            <w:r>
              <w:rPr>
                <w:rFonts w:ascii="Times New Roman" w:hAnsi="Times New Roman"/>
                <w:b w:val="false"/>
                <w:i w:val="false"/>
                <w:color w:val="000000"/>
                <w:sz w:val="14"/>
              </w:rPr>
              <w:t>Des Moines, Iowa 50315</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lisa.connell@iowaeda.com</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Pursuant to Executive Order 10, the Authority proposes to rescind Chapter 414 and adopt a new chapter in lieu thereof. The chapter describes the policies and procedures related to review of federal agency undertakings by the State Historic Preservation Office as required by Section 106 of the National Historic Preservation Act. </w:t>
      </w:r>
    </w:p>
    <w:p>
      <w:pPr>
        <w:spacing w:before="0" w:after="0" w:line="480"/>
        <w:ind w:left="120"/>
        <w:jc w:val="both"/>
      </w:pPr>
      <w:r>
        <w:rPr>
          <w:rFonts w:ascii="Times New Roman" w:hAnsi="Times New Roman"/>
          <w:b w:val="false"/>
          <w:i w:val="false"/>
          <w:color w:val="000000"/>
          <w:sz w:val="24"/>
        </w:rPr>
        <w:t>    The updated chapter will be clearer and more concise throughout. Definitions will be added for clarity. Language that duplicates federal law or regulation will be omitted from the chapter. The chapter will include new language to address consultation required by Iowa Code section 15.121(7) for State-owned properties.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 xml:space="preserve">Entities for which consultation of the State Historic Preservation Office is required pursuant to Section 106 or Iowa Code section 15.121(7) will bear the costs of the proposed rulemaking.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 xml:space="preserve">Entities for which consultation of the State Historic Preservation Office is required pursuant to Section 106 or Iowa Code section 15.121(7) will benefit from the proposed rulemaking.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 xml:space="preserve">Costs may be incurred to gather materials necessary for review and consultation.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Only entities and individuals that are required to consult with the State Historic Preservation Office pursuant to Section 106 or Iowa Code section 15.121(7) will incur any costs. The costs to the State to administer the program are proportional to the directives in Section 106 and Iowa Code section 15.121(7).</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 xml:space="preserve">Authority staff time is required to review materials submitted for historic property evaluation. The new language regarding review of modifications to State-owned properties captures existing policies and procedures.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proposed rulemaking does not have an impact on State revenues. The new language regarding review of modifications to State-owned properties captures existing policies and procedures.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costs associated with the proposed rulemaking are necessary to carry out the directives in Section 106 and Iowa Code section 15.121(7).</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Authority has not identified any less costly methods or less intrusive methods for carrying out the directives in Section 106 or Iowa Code section 15.121(7).</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 xml:space="preserve">The Authority did not consider any other methods.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 xml:space="preserve">The Authority did not consider any other methods. </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xml:space="preserve">    The proposed rulemaking impacts only small businesses for which consultation of the State Historic Preservation Office is required. The requirements are no more stringent than necessary to comply with federal statute and regulations and Iowa Code section 15.121(7). The rulemaking does not establish schedules or deadlines for small businesses. The rulemaking does not establish design or operational standards. </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261—Chapter 414</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414</w:t>
      </w:r>
    </w:p>
    <w:p>
      <w:pPr>
        <w:spacing w:before="0" w:after="0" w:line="480"/>
        <w:ind w:left="120"/>
        <w:jc w:val="center"/>
      </w:pPr>
      <w:r>
        <w:rPr>
          <w:rFonts w:ascii="Times New Roman" w:hAnsi="Times New Roman"/>
          <w:b w:val="false"/>
          <w:i w:val="false"/>
          <w:color w:val="000000"/>
          <w:sz w:val="21"/>
        </w:rPr>
        <w:t>REVIEW AND COMPLIANCE PROGRAM</w:t>
      </w:r>
    </w:p>
    <w:p>
      <w:pPr>
        <w:spacing w:before="0" w:after="0" w:line="480"/>
        <w:ind w:left="120"/>
        <w:jc w:val="both"/>
      </w:pPr>
      <w:r>
        <w:rPr>
          <w:rFonts w:ascii="Times New Roman" w:hAnsi="Times New Roman"/>
          <w:b/>
          <w:i w:val="false"/>
          <w:color w:val="000000"/>
          <w:sz w:val="24"/>
        </w:rPr>
        <w:t>261—414.1</w:t>
      </w:r>
      <w:r>
        <w:rPr>
          <w:rFonts w:ascii="Times New Roman" w:hAnsi="Times New Roman"/>
          <w:b/>
          <w:i w:val="false"/>
          <w:color w:val="000000"/>
          <w:sz w:val="24"/>
        </w:rPr>
        <w:t xml:space="preserve">(15) </w:t>
      </w:r>
      <w:r>
        <w:rPr>
          <w:rFonts w:ascii="Times New Roman" w:hAnsi="Times New Roman"/>
          <w:b/>
          <w:i w:val="false"/>
          <w:color w:val="000000"/>
          <w:sz w:val="24"/>
        </w:rPr>
        <w:t xml:space="preserve">Definitions. </w:t>
      </w:r>
      <w:r>
        <w:rPr>
          <w:rFonts w:ascii="Times New Roman" w:hAnsi="Times New Roman"/>
          <w:b w:val="false"/>
          <w:i w:val="false"/>
          <w:color w:val="000000"/>
          <w:sz w:val="24"/>
        </w:rPr>
        <w:t>For purposes of this chapter, unless the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National Historic Preservation Act of 1966, </w:t>
      </w:r>
      <w:r>
        <w:rPr>
          <w:rFonts w:ascii="Times New Roman" w:hAnsi="Times New Roman"/>
          <w:b w:val="false"/>
          <w:i w:val="false"/>
          <w:color w:val="000000"/>
          <w:sz w:val="24"/>
        </w:rPr>
        <w:t>PL 89-665</w:t>
      </w:r>
      <w:r>
        <w:rPr>
          <w:rFonts w:ascii="Times New Roman" w:hAnsi="Times New Roman"/>
          <w:b w:val="false"/>
          <w:i w:val="false"/>
          <w:color w:val="000000"/>
          <w:sz w:val="24"/>
        </w:rPr>
        <w:t xml:space="preserve">, </w:t>
      </w:r>
      <w:r>
        <w:rPr>
          <w:rFonts w:ascii="Times New Roman" w:hAnsi="Times New Roman"/>
          <w:b w:val="false"/>
          <w:i w:val="false"/>
          <w:color w:val="000000"/>
          <w:sz w:val="24"/>
        </w:rPr>
        <w:t>54 U.S.C.</w:t>
      </w:r>
      <w:r>
        <w:rPr>
          <w:rFonts w:ascii="Times New Roman" w:hAnsi="Times New Roman"/>
          <w:b w:val="false"/>
          <w:i w:val="false"/>
          <w:color w:val="000000"/>
          <w:sz w:val="24"/>
        </w:rPr>
        <w:t xml:space="preserve"> Subtitle III, Division 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“Advisory Council”</w:t>
      </w:r>
      <w:r>
        <w:rPr>
          <w:rFonts w:ascii="Times New Roman" w:hAnsi="Times New Roman"/>
          <w:b w:val="false"/>
          <w:i/>
          <w:color w:val="000000"/>
          <w:sz w:val="24"/>
          <w:u w:val="single"/>
        </w:rPr>
        <w:t> </w:t>
      </w:r>
      <w:r>
        <w:rPr>
          <w:rFonts w:ascii="Times New Roman" w:hAnsi="Times New Roman"/>
          <w:b w:val="false"/>
          <w:i w:val="false"/>
          <w:color w:val="000000"/>
          <w:sz w:val="24"/>
        </w:rPr>
        <w:t>means the Advisory Council on Historic Preservation established under the 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“Agency”</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w:t>
      </w:r>
      <w:r>
        <w:rPr>
          <w:rFonts w:ascii="Times New Roman" w:hAnsi="Times New Roman"/>
          <w:b w:val="false"/>
          <w:i w:val="false"/>
          <w:color w:val="000000"/>
          <w:sz w:val="24"/>
        </w:rPr>
        <w:t>54 U.S.C. §300301</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“Historic property”</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w:t>
      </w:r>
      <w:r>
        <w:rPr>
          <w:rFonts w:ascii="Times New Roman" w:hAnsi="Times New Roman"/>
          <w:b w:val="false"/>
          <w:i w:val="false"/>
          <w:color w:val="000000"/>
          <w:sz w:val="24"/>
        </w:rPr>
        <w:t>54 U.S.C. §300308</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“National Register of Historic Places”</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“National Register”</w:t>
      </w:r>
      <w:r>
        <w:rPr>
          <w:rFonts w:ascii="Times New Roman" w:hAnsi="Times New Roman"/>
          <w:b w:val="false"/>
          <w:i/>
          <w:color w:val="000000"/>
          <w:sz w:val="24"/>
          <w:u w:val="single"/>
        </w:rPr>
        <w:t> </w:t>
      </w:r>
      <w:r>
        <w:rPr>
          <w:rFonts w:ascii="Times New Roman" w:hAnsi="Times New Roman"/>
          <w:b w:val="false"/>
          <w:i w:val="false"/>
          <w:color w:val="000000"/>
          <w:sz w:val="24"/>
        </w:rPr>
        <w:t>means the federal government’s list of historic properties authorized under the Act, administered by the National Park Service, United States Department of the Interior.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“Section 106”</w:t>
      </w:r>
      <w:r>
        <w:rPr>
          <w:rFonts w:ascii="Times New Roman" w:hAnsi="Times New Roman"/>
          <w:b w:val="false"/>
          <w:i/>
          <w:color w:val="000000"/>
          <w:sz w:val="24"/>
          <w:u w:val="single"/>
        </w:rPr>
        <w:t> </w:t>
      </w:r>
      <w:r>
        <w:rPr>
          <w:rFonts w:ascii="Times New Roman" w:hAnsi="Times New Roman"/>
          <w:b w:val="false"/>
          <w:i w:val="false"/>
          <w:color w:val="000000"/>
          <w:sz w:val="24"/>
        </w:rPr>
        <w:t>means the section of the Act that requires federal agencies to take into account the effects of the undertakings that the agencies carry out, fund, license, permit or approve on historic properties and afford the Advisory Council a reasonable opportunity to comment.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“State historic preservation officer”</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“SHPO”</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officer appointed and certified pursuant to Iowa Code section </w:t>
      </w:r>
      <w:hyperlink r:id="rId6">
        <w:r>
          <w:rPr>
            <w:rStyle w:val="Hyperlink"/>
            <w:rFonts w:ascii="Times New Roman" w:hAnsi="Times New Roman"/>
            <w:b w:val="false"/>
            <w:i w:val="false"/>
            <w:color w:val="000000"/>
            <w:sz w:val="24"/>
          </w:rPr>
          <w:t>15.121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“Undertaking”</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w:t>
      </w:r>
      <w:r>
        <w:rPr>
          <w:rFonts w:ascii="Times New Roman" w:hAnsi="Times New Roman"/>
          <w:b w:val="false"/>
          <w:i w:val="false"/>
          <w:color w:val="000000"/>
          <w:sz w:val="24"/>
        </w:rPr>
        <w:t>54 U.S.C. §300320</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261—414.2</w:t>
      </w:r>
      <w:r>
        <w:rPr>
          <w:rFonts w:ascii="Times New Roman" w:hAnsi="Times New Roman"/>
          <w:b/>
          <w:i w:val="false"/>
          <w:color w:val="000000"/>
          <w:sz w:val="24"/>
        </w:rPr>
        <w:t xml:space="preserve">(15) </w:t>
      </w:r>
      <w:r>
        <w:rPr>
          <w:rFonts w:ascii="Times New Roman" w:hAnsi="Times New Roman"/>
          <w:b/>
          <w:i w:val="false"/>
          <w:color w:val="000000"/>
          <w:sz w:val="24"/>
        </w:rPr>
        <w:t xml:space="preserve">Laws, regulations, and other requirements. </w:t>
      </w:r>
      <w:r>
        <w:rPr>
          <w:rFonts w:ascii="Times New Roman" w:hAnsi="Times New Roman"/>
          <w:b w:val="false"/>
          <w:i w:val="false"/>
          <w:color w:val="000000"/>
          <w:sz w:val="24"/>
        </w:rPr>
        <w:t xml:space="preserve">In addition to this chapter, the Iowa review and compliance program shall operate in accordance with the following: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414.2(1)</w:t>
      </w:r>
      <w:r>
        <w:rPr>
          <w:rFonts w:ascii="Times New Roman" w:hAnsi="Times New Roman"/>
          <w:b w:val="false"/>
          <w:i w:val="false"/>
          <w:color w:val="000000"/>
          <w:sz w:val="24"/>
        </w:rPr>
        <w:t> </w:t>
      </w:r>
      <w:r>
        <w:rPr>
          <w:rFonts w:ascii="Times New Roman" w:hAnsi="Times New Roman"/>
          <w:b w:val="false"/>
          <w:i w:val="false"/>
          <w:color w:val="000000"/>
          <w:sz w:val="24"/>
        </w:rPr>
        <w:t>The Act, including but not limited to Section 106.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414.2(2)</w:t>
      </w:r>
      <w:r>
        <w:rPr>
          <w:rFonts w:ascii="Times New Roman" w:hAnsi="Times New Roman"/>
          <w:b w:val="false"/>
          <w:i w:val="false"/>
          <w:color w:val="000000"/>
          <w:sz w:val="24"/>
        </w:rPr>
        <w:t> </w:t>
      </w:r>
      <w:r>
        <w:rPr>
          <w:rFonts w:ascii="Times New Roman" w:hAnsi="Times New Roman"/>
          <w:b w:val="false"/>
          <w:i w:val="false"/>
          <w:color w:val="000000"/>
          <w:sz w:val="24"/>
        </w:rPr>
        <w:t>36 CFR Part 60</w:t>
      </w:r>
      <w:r>
        <w:rPr>
          <w:rFonts w:ascii="Times New Roman" w:hAnsi="Times New Roman"/>
          <w:b w:val="false"/>
          <w:i w:val="false"/>
          <w:color w:val="000000"/>
          <w:sz w:val="24"/>
        </w:rPr>
        <w:t xml:space="preserve"> (National Register of Historic Places).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414.2(3)</w:t>
      </w:r>
      <w:r>
        <w:rPr>
          <w:rFonts w:ascii="Times New Roman" w:hAnsi="Times New Roman"/>
          <w:b w:val="false"/>
          <w:i w:val="false"/>
          <w:color w:val="000000"/>
          <w:sz w:val="24"/>
        </w:rPr>
        <w:t> </w:t>
      </w:r>
      <w:r>
        <w:rPr>
          <w:rFonts w:ascii="Times New Roman" w:hAnsi="Times New Roman"/>
          <w:b w:val="false"/>
          <w:i w:val="false"/>
          <w:color w:val="000000"/>
          <w:sz w:val="24"/>
        </w:rPr>
        <w:t>36 CFR Part 61</w:t>
      </w:r>
      <w:r>
        <w:rPr>
          <w:rFonts w:ascii="Times New Roman" w:hAnsi="Times New Roman"/>
          <w:b w:val="false"/>
          <w:i w:val="false"/>
          <w:color w:val="000000"/>
          <w:sz w:val="24"/>
        </w:rPr>
        <w:t xml:space="preserve"> (Procedures for State, Tribal, Local Government Historic Preservation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414.2(4)</w:t>
      </w:r>
      <w:r>
        <w:rPr>
          <w:rFonts w:ascii="Times New Roman" w:hAnsi="Times New Roman"/>
          <w:b w:val="false"/>
          <w:i w:val="false"/>
          <w:color w:val="000000"/>
          <w:sz w:val="24"/>
        </w:rPr>
        <w:t> </w:t>
      </w:r>
      <w:r>
        <w:rPr>
          <w:rFonts w:ascii="Times New Roman" w:hAnsi="Times New Roman"/>
          <w:b w:val="false"/>
          <w:i w:val="false"/>
          <w:color w:val="000000"/>
          <w:sz w:val="24"/>
        </w:rPr>
        <w:t>36 CFR Part 63</w:t>
      </w:r>
      <w:r>
        <w:rPr>
          <w:rFonts w:ascii="Times New Roman" w:hAnsi="Times New Roman"/>
          <w:b w:val="false"/>
          <w:i w:val="false"/>
          <w:color w:val="000000"/>
          <w:sz w:val="24"/>
        </w:rPr>
        <w:t xml:space="preserve"> (Determinations of Eligibility for Inclusion in the National Register of Historic Places).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414.2(5)</w:t>
      </w:r>
      <w:r>
        <w:rPr>
          <w:rFonts w:ascii="Times New Roman" w:hAnsi="Times New Roman"/>
          <w:b w:val="false"/>
          <w:i w:val="false"/>
          <w:color w:val="000000"/>
          <w:sz w:val="24"/>
        </w:rPr>
        <w:t> </w:t>
      </w:r>
      <w:r>
        <w:rPr>
          <w:rFonts w:ascii="Times New Roman" w:hAnsi="Times New Roman"/>
          <w:b w:val="false"/>
          <w:i w:val="false"/>
          <w:color w:val="000000"/>
          <w:sz w:val="24"/>
        </w:rPr>
        <w:t>36 CFR Part 800</w:t>
      </w:r>
      <w:r>
        <w:rPr>
          <w:rFonts w:ascii="Times New Roman" w:hAnsi="Times New Roman"/>
          <w:b w:val="false"/>
          <w:i w:val="false"/>
          <w:color w:val="000000"/>
          <w:sz w:val="24"/>
        </w:rPr>
        <w:t xml:space="preserve"> (Protection of Historic Properties).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414.2(6)</w:t>
      </w:r>
      <w:r>
        <w:rPr>
          <w:rFonts w:ascii="Times New Roman" w:hAnsi="Times New Roman"/>
          <w:b w:val="false"/>
          <w:i w:val="false"/>
          <w:color w:val="000000"/>
          <w:sz w:val="24"/>
        </w:rPr>
        <w:t> </w:t>
      </w:r>
      <w:r>
        <w:rPr>
          <w:rFonts w:ascii="Times New Roman" w:hAnsi="Times New Roman"/>
          <w:b w:val="false"/>
          <w:i w:val="false"/>
          <w:color w:val="000000"/>
          <w:sz w:val="24"/>
        </w:rPr>
        <w:t>Contract terms outlined in a Historic Preservation Fund grant agreement between the SHPO and the National Park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414.2(7)</w:t>
      </w:r>
      <w:r>
        <w:rPr>
          <w:rFonts w:ascii="Times New Roman" w:hAnsi="Times New Roman"/>
          <w:b w:val="false"/>
          <w:i w:val="false"/>
          <w:color w:val="000000"/>
          <w:sz w:val="24"/>
        </w:rPr>
        <w:t> </w:t>
      </w:r>
      <w:r>
        <w:rPr>
          <w:rFonts w:ascii="Times New Roman" w:hAnsi="Times New Roman"/>
          <w:b w:val="false"/>
          <w:i w:val="false"/>
          <w:color w:val="000000"/>
          <w:sz w:val="24"/>
        </w:rPr>
        <w:t xml:space="preserve">Iowa Code sections </w:t>
      </w:r>
      <w:hyperlink r:id="rId7">
        <w:r>
          <w:rPr>
            <w:rStyle w:val="Hyperlink"/>
            <w:rFonts w:ascii="Times New Roman" w:hAnsi="Times New Roman"/>
            <w:b w:val="false"/>
            <w:i w:val="false"/>
            <w:color w:val="000000"/>
            <w:sz w:val="24"/>
          </w:rPr>
          <w:t>15.121</w:t>
        </w:r>
      </w:hyperlink>
      <w:r>
        <w:rPr>
          <w:rFonts w:ascii="Times New Roman" w:hAnsi="Times New Roman"/>
          <w:b w:val="false"/>
          <w:i w:val="false"/>
          <w:color w:val="000000"/>
          <w:sz w:val="24"/>
        </w:rPr>
        <w:t xml:space="preserve"> and </w:t>
      </w:r>
      <w:hyperlink r:id="rId8">
        <w:r>
          <w:rPr>
            <w:rStyle w:val="Hyperlink"/>
            <w:rFonts w:ascii="Times New Roman" w:hAnsi="Times New Roman"/>
            <w:b w:val="false"/>
            <w:i w:val="false"/>
            <w:color w:val="000000"/>
            <w:sz w:val="24"/>
          </w:rPr>
          <w:t>15.122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261—414.3</w:t>
      </w:r>
      <w:r>
        <w:rPr>
          <w:rFonts w:ascii="Times New Roman" w:hAnsi="Times New Roman"/>
          <w:b/>
          <w:i w:val="false"/>
          <w:color w:val="000000"/>
          <w:sz w:val="24"/>
        </w:rPr>
        <w:t xml:space="preserve">(15) </w:t>
      </w:r>
      <w:r>
        <w:rPr>
          <w:rFonts w:ascii="Times New Roman" w:hAnsi="Times New Roman"/>
          <w:b/>
          <w:i w:val="false"/>
          <w:color w:val="000000"/>
          <w:sz w:val="24"/>
        </w:rPr>
        <w:t xml:space="preserve">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414.3(1)</w:t>
      </w:r>
      <w:r>
        <w:rPr>
          <w:rFonts w:ascii="Times New Roman" w:hAnsi="Times New Roman"/>
          <w:b w:val="false"/>
          <w:i w:val="false"/>
          <w:color w:val="000000"/>
          <w:sz w:val="24"/>
        </w:rPr>
        <w:t> </w:t>
      </w:r>
      <w:r>
        <w:rPr>
          <w:rFonts w:ascii="Times New Roman" w:hAnsi="Times New Roman"/>
          <w:b w:val="false"/>
          <w:i/>
          <w:color w:val="000000"/>
          <w:sz w:val="24"/>
        </w:rPr>
        <w:t xml:space="preserve">Technical assistance. </w:t>
      </w:r>
      <w:r>
        <w:rPr>
          <w:rFonts w:ascii="Times New Roman" w:hAnsi="Times New Roman"/>
          <w:b w:val="false"/>
          <w:i w:val="false"/>
          <w:color w:val="000000"/>
          <w:sz w:val="24"/>
        </w:rPr>
        <w:t xml:space="preserve">In addition to the technical assistance described in rule </w:t>
      </w:r>
      <w:hyperlink r:id="rId9">
        <w:r>
          <w:rPr>
            <w:rStyle w:val="Hyperlink"/>
            <w:rFonts w:ascii="Times New Roman" w:hAnsi="Times New Roman"/>
            <w:b w:val="false"/>
            <w:i w:val="false"/>
            <w:color w:val="000000"/>
            <w:sz w:val="24"/>
          </w:rPr>
          <w:t>261—415.3</w:t>
        </w:r>
      </w:hyperlink>
      <w:r>
        <w:rPr>
          <w:rFonts w:ascii="Times New Roman" w:hAnsi="Times New Roman"/>
          <w:b w:val="false"/>
          <w:i w:val="false"/>
          <w:color w:val="000000"/>
          <w:sz w:val="24"/>
        </w:rPr>
        <w:t xml:space="preserve">(303), the SHPO shall advise and assist agencies as prescribed in </w:t>
      </w:r>
      <w:r>
        <w:rPr>
          <w:rFonts w:ascii="Times New Roman" w:hAnsi="Times New Roman"/>
          <w:b w:val="false"/>
          <w:i w:val="false"/>
          <w:color w:val="000000"/>
          <w:sz w:val="24"/>
        </w:rPr>
        <w:t>36 CFR §800.2(c)</w:t>
      </w:r>
      <w:r>
        <w:rPr>
          <w:rFonts w:ascii="Times New Roman" w:hAnsi="Times New Roman"/>
          <w:b w:val="false"/>
          <w:i w:val="false"/>
          <w:color w:val="000000"/>
          <w:sz w:val="24"/>
        </w:rPr>
        <w:t>(1)(i).</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414.3(2)</w:t>
      </w:r>
      <w:r>
        <w:rPr>
          <w:rFonts w:ascii="Times New Roman" w:hAnsi="Times New Roman"/>
          <w:b w:val="false"/>
          <w:i w:val="false"/>
          <w:color w:val="000000"/>
          <w:sz w:val="24"/>
        </w:rPr>
        <w:t> </w:t>
      </w:r>
      <w:r>
        <w:rPr>
          <w:rFonts w:ascii="Times New Roman" w:hAnsi="Times New Roman"/>
          <w:b w:val="false"/>
          <w:i/>
          <w:color w:val="000000"/>
          <w:sz w:val="24"/>
        </w:rPr>
        <w:t xml:space="preserve">SHPO review of federal undertakings.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Agency officials and agency program applicants or recipients requesting consultation with the SHPO on an undertaking pursuant to Section 106 shall submit documentation regarding the undertaking and potential effects to historic properties.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SHPO will make appropriate forms and guidelines available to the public for submission of project documentation to the SHPO.</w:t>
      </w:r>
    </w:p>
    <w:p>
      <w:pPr>
        <w:spacing w:before="0" w:after="0" w:line="480"/>
        <w:ind w:left="120"/>
        <w:jc w:val="both"/>
      </w:pPr>
      <w:r>
        <w:rPr>
          <w:rFonts w:ascii="Times New Roman" w:hAnsi="Times New Roman"/>
          <w:b/>
          <w:i w:val="false"/>
          <w:color w:val="000000"/>
          <w:sz w:val="24"/>
        </w:rPr>
        <w:t>261—414.4</w:t>
      </w:r>
      <w:r>
        <w:rPr>
          <w:rFonts w:ascii="Times New Roman" w:hAnsi="Times New Roman"/>
          <w:b/>
          <w:i w:val="false"/>
          <w:color w:val="000000"/>
          <w:sz w:val="24"/>
        </w:rPr>
        <w:t xml:space="preserve">(15) </w:t>
      </w:r>
      <w:r>
        <w:rPr>
          <w:rFonts w:ascii="Times New Roman" w:hAnsi="Times New Roman"/>
          <w:b/>
          <w:i w:val="false"/>
          <w:color w:val="000000"/>
          <w:sz w:val="24"/>
        </w:rPr>
        <w:t xml:space="preserve">State-owned properties. </w:t>
      </w:r>
      <w:r>
        <w:rPr>
          <w:rFonts w:ascii="Times New Roman" w:hAnsi="Times New Roman"/>
          <w:b w:val="false"/>
          <w:i w:val="false"/>
          <w:color w:val="000000"/>
          <w:sz w:val="24"/>
        </w:rPr>
        <w:t xml:space="preserve">This rule applies to consultation with the SHPO required pursuant to Iowa Code section </w:t>
      </w:r>
      <w:hyperlink r:id="rId10">
        <w:r>
          <w:rPr>
            <w:rStyle w:val="Hyperlink"/>
            <w:rFonts w:ascii="Times New Roman" w:hAnsi="Times New Roman"/>
            <w:b w:val="false"/>
            <w:i w:val="false"/>
            <w:color w:val="000000"/>
            <w:sz w:val="24"/>
          </w:rPr>
          <w:t>15.121(7)</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414.4(1)</w:t>
      </w:r>
      <w:r>
        <w:rPr>
          <w:rFonts w:ascii="Times New Roman" w:hAnsi="Times New Roman"/>
          <w:b w:val="false"/>
          <w:i w:val="false"/>
          <w:color w:val="000000"/>
          <w:sz w:val="24"/>
        </w:rPr>
        <w:t> </w:t>
      </w:r>
      <w:r>
        <w:rPr>
          <w:rFonts w:ascii="Times New Roman" w:hAnsi="Times New Roman"/>
          <w:b w:val="false"/>
          <w:i w:val="false"/>
          <w:color w:val="000000"/>
          <w:sz w:val="24"/>
        </w:rPr>
        <w:t xml:space="preserve">If a property owned by a state agency has not been listed in, or identified as eligible for, the National Register of Historic Places, the state agency shall submit information sufficient for the SHPO to determine if the property is a historic property. The SHPO will determine whether a property is eligible for listing on the National Register or state register of historic places. A property may be reevaluated for this purpose for subsequent modifications to the property. Consultation with the Keeper of the National Register of Historic Places may be requested to determine whether a property is a historic property.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414.4(2)</w:t>
      </w:r>
      <w:r>
        <w:rPr>
          <w:rFonts w:ascii="Times New Roman" w:hAnsi="Times New Roman"/>
          <w:b w:val="false"/>
          <w:i w:val="false"/>
          <w:color w:val="000000"/>
          <w:sz w:val="24"/>
        </w:rPr>
        <w:t> </w:t>
      </w:r>
      <w:r>
        <w:rPr>
          <w:rFonts w:ascii="Times New Roman" w:hAnsi="Times New Roman"/>
          <w:b w:val="false"/>
          <w:i w:val="false"/>
          <w:color w:val="000000"/>
          <w:sz w:val="24"/>
        </w:rPr>
        <w:t xml:space="preserve">The SHPO will make appropriate forms and guidelines available to state agencies for submission of project documentation for review and comment by the SHPO. Required information shall include but not be limited to the area of potential effects and a description of modifications to the historic property.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414.4(3)</w:t>
      </w:r>
      <w:r>
        <w:rPr>
          <w:rFonts w:ascii="Times New Roman" w:hAnsi="Times New Roman"/>
          <w:b w:val="false"/>
          <w:i w:val="false"/>
          <w:color w:val="000000"/>
          <w:sz w:val="24"/>
        </w:rPr>
        <w:t> </w:t>
      </w:r>
      <w:r>
        <w:rPr>
          <w:rFonts w:ascii="Times New Roman" w:hAnsi="Times New Roman"/>
          <w:b w:val="false"/>
          <w:i w:val="false"/>
          <w:color w:val="000000"/>
          <w:sz w:val="24"/>
        </w:rPr>
        <w:t xml:space="preserve">The SHPO shall provide comments within 45 days of submission of required information. If the information is incomplete when submitted, the 45-day review period will restart when the SHPO receives a complete submission. Comments may include requests for further information or address any of the following: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scope, scale, and nature of the proposed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potential for effects on historic properties;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likelihood that historic properties are present within the area of potential effects;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Applicable professional standards and state, tribal, and local laws, regulations, and guidelines.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414.4(4)</w:t>
      </w:r>
      <w:r>
        <w:rPr>
          <w:rFonts w:ascii="Times New Roman" w:hAnsi="Times New Roman"/>
          <w:b w:val="false"/>
          <w:i w:val="false"/>
          <w:color w:val="000000"/>
          <w:sz w:val="24"/>
        </w:rPr>
        <w:t> </w:t>
      </w:r>
      <w:r>
        <w:rPr>
          <w:rFonts w:ascii="Times New Roman" w:hAnsi="Times New Roman"/>
          <w:b w:val="false"/>
          <w:i w:val="false"/>
          <w:color w:val="000000"/>
          <w:sz w:val="24"/>
        </w:rPr>
        <w:t>Modifications to historic properties that may be considered adverse effects include but are not limited to physical destruction of or damage to the historic property, alteration of a property that would affect the eligibility for or listing on the National Register, or removal of the property from its historic location. The SHPO will consult with the state agency to evaluate potential methods to avoid or minimize effects to the historic property. Alternatively, the state agency and SHPO may enter into an agreement to mitigate the adverse effects.</w:t>
      </w:r>
    </w:p>
    <w:p>
      <w:pPr>
        <w:spacing w:before="210" w:after="0" w:line="480"/>
        <w:ind w:left="120"/>
        <w:jc w:val="both"/>
      </w:pPr>
      <w:r>
        <w:rPr>
          <w:rFonts w:ascii="Times New Roman" w:hAnsi="Times New Roman"/>
          <w:b/>
          <w:i w:val="false"/>
          <w:color w:val="000000"/>
          <w:sz w:val="24"/>
        </w:rPr>
        <w:t>261—414.5</w:t>
      </w:r>
      <w:r>
        <w:rPr>
          <w:rFonts w:ascii="Times New Roman" w:hAnsi="Times New Roman"/>
          <w:b/>
          <w:i w:val="false"/>
          <w:color w:val="000000"/>
          <w:sz w:val="24"/>
        </w:rPr>
        <w:t xml:space="preserve">(15) </w:t>
      </w:r>
      <w:r>
        <w:rPr>
          <w:rFonts w:ascii="Times New Roman" w:hAnsi="Times New Roman"/>
          <w:b/>
          <w:i w:val="false"/>
          <w:color w:val="000000"/>
          <w:sz w:val="24"/>
        </w:rPr>
        <w:t xml:space="preserve">References. </w:t>
      </w:r>
      <w:r>
        <w:rPr>
          <w:rFonts w:ascii="Times New Roman" w:hAnsi="Times New Roman"/>
          <w:b w:val="false"/>
          <w:i w:val="false"/>
          <w:color w:val="000000"/>
          <w:sz w:val="24"/>
        </w:rPr>
        <w:t>All references to the Act, United States Code, or Code of Federal Regulations in this chapter are as in effect on [effective date of this rulemaking].</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11">
        <w:r>
          <w:rPr>
            <w:rStyle w:val="Hyperlink"/>
            <w:rFonts w:ascii="Times New Roman" w:hAnsi="Times New Roman"/>
            <w:b w:val="false"/>
            <w:i w:val="false"/>
            <w:color w:val="000000"/>
            <w:sz w:val="24"/>
          </w:rPr>
          <w:t>15.121</w:t>
        </w:r>
      </w:hyperlink>
      <w:r>
        <w:rPr>
          <w:rFonts w:ascii="Times New Roman" w:hAnsi="Times New Roman"/>
          <w:b w:val="false"/>
          <w:i w:val="false"/>
          <w:color w:val="000000"/>
          <w:sz w:val="24"/>
        </w:rPr>
        <w:t xml:space="preserve"> and </w:t>
      </w:r>
      <w:r>
        <w:rPr>
          <w:rFonts w:ascii="Times New Roman" w:hAnsi="Times New Roman"/>
          <w:b w:val="false"/>
          <w:i w:val="false"/>
          <w:color w:val="000000"/>
          <w:sz w:val="24"/>
        </w:rPr>
        <w:t>54 U.S.C.</w:t>
      </w:r>
      <w:r>
        <w:rPr>
          <w:rFonts w:ascii="Times New Roman" w:hAnsi="Times New Roman"/>
          <w:b w:val="false"/>
          <w:i w:val="false"/>
          <w:color w:val="000000"/>
          <w:sz w:val="24"/>
        </w:rPr>
        <w:t xml:space="preserve"> Subtitle III, Division A.</w:t>
      </w:r>
    </w:p>
    <w:sectPr>
      <w:footerReference r:id="rId12"/>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opportunityiowa.gov/about/iowa-economic-development-authority/ieda-red-tape-review" Type="http://schemas.openxmlformats.org/officeDocument/2006/relationships/hyperlink" Id="rId4"/>
    <Relationship TargetMode="External" Target="mailto:lisa.connell@iowaeda.com" Type="http://schemas.openxmlformats.org/officeDocument/2006/relationships/hyperlink" Id="rId5"/>
    <Relationship TargetMode="External" Target="https://www.legis.iowa.gov/docs/ico/chapter/15.121.pdf" Type="http://schemas.openxmlformats.org/officeDocument/2006/relationships/hyperlink" Id="rId6"/>
    <Relationship TargetMode="External" Target="https://www.legis.iowa.gov/docs/ico/chapter/15.121.pdf" Type="http://schemas.openxmlformats.org/officeDocument/2006/relationships/hyperlink" Id="rId7"/>
    <Relationship TargetMode="External" Target="https://www.legis.iowa.gov/docs/ico/chapter/15.122.pdf" Type="http://schemas.openxmlformats.org/officeDocument/2006/relationships/hyperlink" Id="rId8"/>
    <Relationship TargetMode="External" Target="https://www.legis.iowa.gov/docs/iac/rule/261.415.3.pdf" Type="http://schemas.openxmlformats.org/officeDocument/2006/relationships/hyperlink" Id="rId9"/>
    <Relationship TargetMode="External" Target="https://www.legis.iowa.gov/docs/ico/chapter/15.121.pdf" Type="http://schemas.openxmlformats.org/officeDocument/2006/relationships/hyperlink" Id="rId10"/>
    <Relationship TargetMode="External" Target="https://www.legis.iowa.gov/docs/ico/chapter/15.121.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